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E2B" w:rsidRPr="002A3E2B" w:rsidRDefault="00B13674" w:rsidP="002A3E2B">
      <w:pPr>
        <w:jc w:val="center"/>
        <w:rPr>
          <w:sz w:val="26"/>
          <w:szCs w:val="26"/>
        </w:rPr>
      </w:pPr>
      <w:r>
        <w:rPr>
          <w:sz w:val="26"/>
          <w:szCs w:val="26"/>
        </w:rPr>
        <w:t xml:space="preserve">Администрация Магинского </w:t>
      </w:r>
      <w:r w:rsidR="002A3E2B" w:rsidRPr="002A3E2B">
        <w:rPr>
          <w:sz w:val="26"/>
          <w:szCs w:val="26"/>
        </w:rPr>
        <w:t xml:space="preserve">сельского поселения </w:t>
      </w:r>
    </w:p>
    <w:p w:rsidR="002A3E2B" w:rsidRPr="002A3E2B" w:rsidRDefault="002A3E2B" w:rsidP="00B13674">
      <w:pPr>
        <w:jc w:val="center"/>
        <w:rPr>
          <w:sz w:val="26"/>
          <w:szCs w:val="26"/>
        </w:rPr>
      </w:pPr>
      <w:r w:rsidRPr="002A3E2B">
        <w:rPr>
          <w:sz w:val="26"/>
          <w:szCs w:val="26"/>
        </w:rPr>
        <w:t>Николаевского муниципального района</w:t>
      </w:r>
      <w:r w:rsidR="00B13674">
        <w:rPr>
          <w:sz w:val="26"/>
          <w:szCs w:val="26"/>
        </w:rPr>
        <w:t xml:space="preserve"> </w:t>
      </w:r>
      <w:r w:rsidRPr="002A3E2B">
        <w:rPr>
          <w:sz w:val="26"/>
          <w:szCs w:val="26"/>
        </w:rPr>
        <w:t>Хабаровского края</w:t>
      </w:r>
    </w:p>
    <w:p w:rsidR="002A3E2B" w:rsidRPr="002A3E2B" w:rsidRDefault="002A3E2B" w:rsidP="002A3E2B">
      <w:pPr>
        <w:jc w:val="center"/>
        <w:rPr>
          <w:sz w:val="26"/>
          <w:szCs w:val="26"/>
        </w:rPr>
      </w:pPr>
    </w:p>
    <w:p w:rsidR="002A3E2B" w:rsidRPr="002A3E2B" w:rsidRDefault="002A3E2B" w:rsidP="002A3E2B">
      <w:pPr>
        <w:spacing w:line="240" w:lineRule="exact"/>
        <w:jc w:val="center"/>
        <w:rPr>
          <w:sz w:val="26"/>
          <w:szCs w:val="26"/>
        </w:rPr>
      </w:pPr>
      <w:r w:rsidRPr="002A3E2B">
        <w:rPr>
          <w:sz w:val="26"/>
          <w:szCs w:val="26"/>
        </w:rPr>
        <w:t>ПОСТАНОВЛЕНИЕ</w:t>
      </w:r>
    </w:p>
    <w:p w:rsidR="002A3E2B" w:rsidRPr="002A3E2B" w:rsidRDefault="002A3E2B" w:rsidP="002A3E2B">
      <w:pPr>
        <w:spacing w:line="240" w:lineRule="exact"/>
        <w:jc w:val="both"/>
        <w:rPr>
          <w:sz w:val="26"/>
          <w:szCs w:val="26"/>
        </w:rPr>
      </w:pPr>
    </w:p>
    <w:p w:rsidR="002A3E2B" w:rsidRPr="002A3E2B" w:rsidRDefault="002A3E2B" w:rsidP="002A3E2B">
      <w:pPr>
        <w:spacing w:line="240" w:lineRule="exact"/>
        <w:jc w:val="both"/>
        <w:rPr>
          <w:sz w:val="26"/>
          <w:szCs w:val="26"/>
        </w:rPr>
      </w:pPr>
    </w:p>
    <w:p w:rsidR="002A3E2B" w:rsidRPr="002A3E2B" w:rsidRDefault="002A3E2B" w:rsidP="002A3E2B">
      <w:pPr>
        <w:spacing w:line="240" w:lineRule="exact"/>
        <w:jc w:val="both"/>
        <w:rPr>
          <w:sz w:val="26"/>
          <w:szCs w:val="26"/>
        </w:rPr>
      </w:pPr>
    </w:p>
    <w:p w:rsidR="002A3E2B" w:rsidRPr="002A3E2B" w:rsidRDefault="002A3E2B" w:rsidP="002A3E2B">
      <w:pPr>
        <w:spacing w:line="240" w:lineRule="exact"/>
        <w:jc w:val="both"/>
        <w:rPr>
          <w:sz w:val="26"/>
          <w:szCs w:val="26"/>
        </w:rPr>
      </w:pPr>
    </w:p>
    <w:p w:rsidR="002A3E2B" w:rsidRPr="002A3E2B" w:rsidRDefault="002A3E2B" w:rsidP="002A3E2B">
      <w:pPr>
        <w:spacing w:line="240" w:lineRule="exact"/>
        <w:jc w:val="both"/>
        <w:rPr>
          <w:sz w:val="26"/>
          <w:szCs w:val="26"/>
        </w:rPr>
      </w:pPr>
    </w:p>
    <w:p w:rsidR="002A3E2B" w:rsidRPr="002A3E2B" w:rsidRDefault="00393CBE" w:rsidP="002A3E2B">
      <w:pPr>
        <w:spacing w:line="240" w:lineRule="exact"/>
        <w:jc w:val="both"/>
        <w:rPr>
          <w:sz w:val="26"/>
          <w:szCs w:val="26"/>
        </w:rPr>
      </w:pPr>
      <w:r>
        <w:rPr>
          <w:sz w:val="26"/>
          <w:szCs w:val="26"/>
        </w:rPr>
        <w:t>01.03.2019                                                                                                             № 10п</w:t>
      </w:r>
    </w:p>
    <w:p w:rsidR="002A3E2B" w:rsidRPr="002A3E2B" w:rsidRDefault="002A3E2B" w:rsidP="002A3E2B">
      <w:pPr>
        <w:spacing w:line="240" w:lineRule="exact"/>
        <w:jc w:val="both"/>
        <w:rPr>
          <w:sz w:val="26"/>
          <w:szCs w:val="26"/>
        </w:rPr>
      </w:pPr>
    </w:p>
    <w:p w:rsidR="00B13674" w:rsidRPr="002A3E2B" w:rsidRDefault="00B13674" w:rsidP="002A3E2B">
      <w:pPr>
        <w:spacing w:line="240" w:lineRule="exact"/>
        <w:jc w:val="both"/>
        <w:rPr>
          <w:sz w:val="26"/>
          <w:szCs w:val="26"/>
        </w:rPr>
      </w:pPr>
    </w:p>
    <w:p w:rsidR="002A3E2B" w:rsidRPr="002A3E2B" w:rsidRDefault="002A3E2B" w:rsidP="002A3E2B">
      <w:pPr>
        <w:spacing w:line="240" w:lineRule="exact"/>
        <w:jc w:val="both"/>
        <w:rPr>
          <w:sz w:val="26"/>
          <w:szCs w:val="26"/>
        </w:rPr>
      </w:pPr>
      <w:r w:rsidRPr="002A3E2B">
        <w:rPr>
          <w:sz w:val="26"/>
          <w:szCs w:val="26"/>
        </w:rPr>
        <w:t xml:space="preserve">О внесении изменений в постановление Магинского сельского поселения от </w:t>
      </w:r>
      <w:r>
        <w:rPr>
          <w:sz w:val="26"/>
          <w:szCs w:val="26"/>
        </w:rPr>
        <w:t>14.11.2018 №</w:t>
      </w:r>
      <w:r w:rsidR="00393CBE">
        <w:rPr>
          <w:sz w:val="26"/>
          <w:szCs w:val="26"/>
        </w:rPr>
        <w:t xml:space="preserve"> </w:t>
      </w:r>
      <w:r>
        <w:rPr>
          <w:sz w:val="26"/>
          <w:szCs w:val="26"/>
        </w:rPr>
        <w:t xml:space="preserve">86п </w:t>
      </w:r>
      <w:r w:rsidRPr="002A3E2B">
        <w:rPr>
          <w:sz w:val="26"/>
          <w:szCs w:val="26"/>
        </w:rPr>
        <w:t>«Об утверждении перечня и кодов целевых статей расходов бюджета поселения, а также особенностей применения отдельных видов расходов бюджета поселения»</w:t>
      </w:r>
    </w:p>
    <w:p w:rsidR="002A3E2B" w:rsidRPr="002A3E2B" w:rsidRDefault="002A3E2B" w:rsidP="002A3E2B">
      <w:pPr>
        <w:jc w:val="both"/>
        <w:rPr>
          <w:sz w:val="26"/>
          <w:szCs w:val="26"/>
        </w:rPr>
      </w:pPr>
    </w:p>
    <w:p w:rsidR="002A3E2B" w:rsidRPr="002A3E2B" w:rsidRDefault="002A3E2B" w:rsidP="002A3E2B">
      <w:pPr>
        <w:jc w:val="both"/>
        <w:rPr>
          <w:sz w:val="26"/>
          <w:szCs w:val="26"/>
        </w:rPr>
      </w:pPr>
    </w:p>
    <w:p w:rsidR="002A3E2B" w:rsidRDefault="000B49EC" w:rsidP="00B13674">
      <w:pPr>
        <w:tabs>
          <w:tab w:val="left" w:pos="709"/>
        </w:tabs>
        <w:jc w:val="both"/>
        <w:rPr>
          <w:sz w:val="26"/>
          <w:szCs w:val="26"/>
        </w:rPr>
      </w:pPr>
      <w:r>
        <w:rPr>
          <w:sz w:val="26"/>
          <w:szCs w:val="26"/>
        </w:rPr>
        <w:t xml:space="preserve">          </w:t>
      </w:r>
      <w:r w:rsidR="002A3E2B" w:rsidRPr="002A3E2B">
        <w:rPr>
          <w:sz w:val="26"/>
          <w:szCs w:val="26"/>
        </w:rPr>
        <w:t>В соответствии с пунктом 4 статьи 21 Бюджетного кодекса Российской Федерации и Указаниями о порядке формирования и применения кодов бюджетной классификации Российской Федерации, их структуре и принципах назначения, утвержденными приказом Министерства финансов Российской Федерации от 08 июня 2018 г. № 132н</w:t>
      </w:r>
      <w:r w:rsidR="002A3E2B">
        <w:rPr>
          <w:sz w:val="26"/>
          <w:szCs w:val="26"/>
        </w:rPr>
        <w:t>, администрация Магинского сельского поселения</w:t>
      </w:r>
    </w:p>
    <w:p w:rsidR="002A3E2B" w:rsidRPr="002A3E2B" w:rsidRDefault="002A3E2B" w:rsidP="00B13674">
      <w:pPr>
        <w:jc w:val="both"/>
        <w:rPr>
          <w:sz w:val="26"/>
          <w:szCs w:val="26"/>
        </w:rPr>
      </w:pPr>
      <w:r>
        <w:rPr>
          <w:sz w:val="26"/>
          <w:szCs w:val="26"/>
        </w:rPr>
        <w:t>ПОСТАНОВЛЯЕТ:</w:t>
      </w:r>
    </w:p>
    <w:p w:rsidR="002A3E2B" w:rsidRPr="002A3E2B" w:rsidRDefault="002A3E2B" w:rsidP="00B13674">
      <w:pPr>
        <w:jc w:val="both"/>
        <w:rPr>
          <w:sz w:val="26"/>
          <w:szCs w:val="26"/>
        </w:rPr>
      </w:pPr>
      <w:r>
        <w:rPr>
          <w:sz w:val="26"/>
          <w:szCs w:val="26"/>
        </w:rPr>
        <w:t xml:space="preserve">          1.</w:t>
      </w:r>
      <w:r w:rsidRPr="002A3E2B">
        <w:rPr>
          <w:sz w:val="26"/>
          <w:szCs w:val="26"/>
        </w:rPr>
        <w:t xml:space="preserve"> Внести в постановление администрации Магинского сельского поселения Николаевского муниципа</w:t>
      </w:r>
      <w:r>
        <w:rPr>
          <w:sz w:val="26"/>
          <w:szCs w:val="26"/>
        </w:rPr>
        <w:t>льного района Хабаровского края от 14.11.2018 № 86</w:t>
      </w:r>
      <w:proofErr w:type="gramStart"/>
      <w:r>
        <w:rPr>
          <w:sz w:val="26"/>
          <w:szCs w:val="26"/>
        </w:rPr>
        <w:t>п</w:t>
      </w:r>
      <w:r w:rsidRPr="002A3E2B">
        <w:rPr>
          <w:sz w:val="26"/>
          <w:szCs w:val="26"/>
        </w:rPr>
        <w:t xml:space="preserve">  «</w:t>
      </w:r>
      <w:proofErr w:type="gramEnd"/>
      <w:r w:rsidRPr="002A3E2B">
        <w:rPr>
          <w:sz w:val="26"/>
          <w:szCs w:val="26"/>
        </w:rPr>
        <w:t>Об утверждении перечня и кодов целевых статей расходов бюджета поселения, а также особенностей применения отдельных видов расходов бюджета поселения»  следующее дополнение:</w:t>
      </w:r>
    </w:p>
    <w:p w:rsidR="002A3E2B" w:rsidRPr="002A3E2B" w:rsidRDefault="002A3E2B" w:rsidP="00B13674">
      <w:pPr>
        <w:ind w:firstLine="709"/>
        <w:jc w:val="both"/>
        <w:rPr>
          <w:sz w:val="26"/>
          <w:szCs w:val="26"/>
        </w:rPr>
      </w:pPr>
      <w:r w:rsidRPr="002A3E2B">
        <w:rPr>
          <w:sz w:val="26"/>
          <w:szCs w:val="26"/>
        </w:rPr>
        <w:t>1.1. Пункт 1 дополнить подпунктом 1.3. следующего содержания:</w:t>
      </w:r>
    </w:p>
    <w:p w:rsidR="002A3E2B" w:rsidRDefault="002A3E2B" w:rsidP="00B13674">
      <w:pPr>
        <w:ind w:firstLine="709"/>
        <w:jc w:val="both"/>
        <w:rPr>
          <w:sz w:val="26"/>
          <w:szCs w:val="26"/>
        </w:rPr>
      </w:pPr>
      <w:r w:rsidRPr="002A3E2B">
        <w:rPr>
          <w:sz w:val="26"/>
          <w:szCs w:val="26"/>
        </w:rPr>
        <w:t>«1.3. Порядок определения перечня и кодов целевых статей расходов бюджета Магинского сельского поселения, финансовое обеспечение которых осуществляется за счет межбюджетных субсидий, субвенций и иных межбюджетных трансфертов из краевого и федерального бюдж</w:t>
      </w:r>
      <w:r>
        <w:rPr>
          <w:sz w:val="26"/>
          <w:szCs w:val="26"/>
        </w:rPr>
        <w:t>етов, имеющих целевое назначение</w:t>
      </w:r>
      <w:r w:rsidRPr="002A3E2B">
        <w:rPr>
          <w:sz w:val="26"/>
          <w:szCs w:val="26"/>
        </w:rPr>
        <w:t>».</w:t>
      </w:r>
    </w:p>
    <w:p w:rsidR="002A3E2B" w:rsidRPr="002A3E2B" w:rsidRDefault="002A3E2B" w:rsidP="00B13674">
      <w:pPr>
        <w:ind w:firstLine="709"/>
        <w:jc w:val="both"/>
        <w:rPr>
          <w:sz w:val="26"/>
          <w:szCs w:val="26"/>
        </w:rPr>
      </w:pPr>
      <w:r>
        <w:rPr>
          <w:sz w:val="26"/>
          <w:szCs w:val="26"/>
        </w:rPr>
        <w:t>2. Контроль за выполнением настоящего постановления возложить на главу Магинского сельского поселения Мавровского В.Е.</w:t>
      </w:r>
    </w:p>
    <w:p w:rsidR="002A3E2B" w:rsidRPr="002A3E2B" w:rsidRDefault="002A3E2B" w:rsidP="00B13674">
      <w:pPr>
        <w:autoSpaceDE w:val="0"/>
        <w:autoSpaceDN w:val="0"/>
        <w:adjustRightInd w:val="0"/>
        <w:ind w:firstLine="708"/>
        <w:jc w:val="both"/>
        <w:rPr>
          <w:sz w:val="26"/>
          <w:szCs w:val="26"/>
        </w:rPr>
      </w:pPr>
      <w:r>
        <w:rPr>
          <w:sz w:val="26"/>
          <w:szCs w:val="26"/>
        </w:rPr>
        <w:t>3</w:t>
      </w:r>
      <w:r w:rsidR="00B82A9D">
        <w:rPr>
          <w:sz w:val="26"/>
          <w:szCs w:val="26"/>
        </w:rPr>
        <w:t>. Настоящее постановление</w:t>
      </w:r>
      <w:r w:rsidRPr="002A3E2B">
        <w:rPr>
          <w:sz w:val="26"/>
          <w:szCs w:val="26"/>
        </w:rPr>
        <w:t xml:space="preserve"> вступает в силу с момента подписания и распространяется на правоотношения, возникшие с 01 января 2019 года.</w:t>
      </w:r>
    </w:p>
    <w:p w:rsidR="002A3E2B" w:rsidRPr="002A3E2B" w:rsidRDefault="002A3E2B" w:rsidP="00B13674">
      <w:pPr>
        <w:jc w:val="both"/>
        <w:rPr>
          <w:sz w:val="26"/>
          <w:szCs w:val="26"/>
        </w:rPr>
      </w:pPr>
    </w:p>
    <w:p w:rsidR="002A3E2B" w:rsidRPr="002A3E2B" w:rsidRDefault="002A3E2B" w:rsidP="00B13674">
      <w:pPr>
        <w:jc w:val="both"/>
        <w:rPr>
          <w:sz w:val="26"/>
          <w:szCs w:val="26"/>
        </w:rPr>
      </w:pPr>
    </w:p>
    <w:p w:rsidR="002A3E2B" w:rsidRPr="002A3E2B" w:rsidRDefault="002A3E2B" w:rsidP="00B13674">
      <w:pPr>
        <w:jc w:val="both"/>
        <w:rPr>
          <w:sz w:val="26"/>
          <w:szCs w:val="26"/>
        </w:rPr>
      </w:pPr>
    </w:p>
    <w:p w:rsidR="002A3E2B" w:rsidRPr="002A3E2B" w:rsidRDefault="002A3E2B" w:rsidP="00B13674">
      <w:pPr>
        <w:rPr>
          <w:sz w:val="26"/>
          <w:szCs w:val="26"/>
        </w:rPr>
      </w:pPr>
      <w:r w:rsidRPr="002A3E2B">
        <w:rPr>
          <w:sz w:val="26"/>
          <w:szCs w:val="26"/>
        </w:rPr>
        <w:t>Глава</w:t>
      </w:r>
      <w:r>
        <w:rPr>
          <w:sz w:val="26"/>
          <w:szCs w:val="26"/>
        </w:rPr>
        <w:t xml:space="preserve"> сельского</w:t>
      </w:r>
      <w:r w:rsidRPr="002A3E2B">
        <w:rPr>
          <w:sz w:val="26"/>
          <w:szCs w:val="26"/>
        </w:rPr>
        <w:t xml:space="preserve"> поселения</w:t>
      </w:r>
      <w:r>
        <w:rPr>
          <w:sz w:val="26"/>
          <w:szCs w:val="26"/>
        </w:rPr>
        <w:t xml:space="preserve">                                                                  В.Е. Мавровский</w:t>
      </w:r>
    </w:p>
    <w:p w:rsidR="002A3E2B" w:rsidRPr="002A3E2B" w:rsidRDefault="002A3E2B" w:rsidP="00B13674">
      <w:pPr>
        <w:jc w:val="both"/>
        <w:rPr>
          <w:sz w:val="26"/>
          <w:szCs w:val="26"/>
        </w:rPr>
      </w:pPr>
    </w:p>
    <w:p w:rsidR="004C03D2" w:rsidRDefault="004C03D2" w:rsidP="00B13674">
      <w:pPr>
        <w:rPr>
          <w:sz w:val="26"/>
          <w:szCs w:val="26"/>
        </w:rPr>
      </w:pPr>
    </w:p>
    <w:p w:rsidR="00E86BC3" w:rsidRDefault="00E86BC3" w:rsidP="00B13674">
      <w:pPr>
        <w:rPr>
          <w:sz w:val="26"/>
          <w:szCs w:val="26"/>
        </w:rPr>
      </w:pPr>
    </w:p>
    <w:p w:rsidR="00E86BC3" w:rsidRDefault="00E86BC3">
      <w:pPr>
        <w:rPr>
          <w:sz w:val="26"/>
          <w:szCs w:val="26"/>
        </w:rPr>
      </w:pPr>
    </w:p>
    <w:p w:rsidR="00E86BC3" w:rsidRDefault="00E86BC3">
      <w:pPr>
        <w:rPr>
          <w:sz w:val="26"/>
          <w:szCs w:val="26"/>
        </w:rPr>
      </w:pPr>
    </w:p>
    <w:p w:rsidR="00393CBE" w:rsidRDefault="00393CBE">
      <w:pPr>
        <w:rPr>
          <w:sz w:val="26"/>
          <w:szCs w:val="26"/>
        </w:rPr>
      </w:pPr>
    </w:p>
    <w:p w:rsidR="00393CBE" w:rsidRDefault="00393CBE">
      <w:pPr>
        <w:rPr>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3935"/>
      </w:tblGrid>
      <w:tr w:rsidR="00E86BC3" w:rsidTr="00E86BC3">
        <w:tc>
          <w:tcPr>
            <w:tcW w:w="5240" w:type="dxa"/>
          </w:tcPr>
          <w:p w:rsidR="00E86BC3" w:rsidRDefault="00E86BC3" w:rsidP="00E86BC3">
            <w:pPr>
              <w:spacing w:line="240" w:lineRule="exact"/>
              <w:contextualSpacing/>
              <w:jc w:val="both"/>
              <w:rPr>
                <w:sz w:val="26"/>
                <w:szCs w:val="26"/>
              </w:rPr>
            </w:pPr>
          </w:p>
        </w:tc>
        <w:tc>
          <w:tcPr>
            <w:tcW w:w="3935" w:type="dxa"/>
          </w:tcPr>
          <w:p w:rsidR="00E86BC3" w:rsidRDefault="00E86BC3" w:rsidP="00E86BC3">
            <w:pPr>
              <w:spacing w:line="240" w:lineRule="exact"/>
              <w:contextualSpacing/>
              <w:jc w:val="both"/>
              <w:rPr>
                <w:sz w:val="26"/>
                <w:szCs w:val="26"/>
              </w:rPr>
            </w:pPr>
            <w:r>
              <w:rPr>
                <w:sz w:val="26"/>
                <w:szCs w:val="26"/>
              </w:rPr>
              <w:t>УТВЕРЖДЕН</w:t>
            </w:r>
          </w:p>
          <w:p w:rsidR="00E86BC3" w:rsidRDefault="00E86BC3" w:rsidP="00E86BC3">
            <w:pPr>
              <w:spacing w:line="240" w:lineRule="exact"/>
              <w:contextualSpacing/>
              <w:jc w:val="both"/>
              <w:rPr>
                <w:sz w:val="26"/>
                <w:szCs w:val="26"/>
              </w:rPr>
            </w:pPr>
          </w:p>
          <w:p w:rsidR="00E86BC3" w:rsidRDefault="00E86BC3" w:rsidP="00E86BC3">
            <w:pPr>
              <w:spacing w:line="240" w:lineRule="exact"/>
              <w:contextualSpacing/>
              <w:jc w:val="both"/>
              <w:rPr>
                <w:sz w:val="26"/>
                <w:szCs w:val="26"/>
              </w:rPr>
            </w:pPr>
            <w:proofErr w:type="gramStart"/>
            <w:r>
              <w:rPr>
                <w:sz w:val="26"/>
                <w:szCs w:val="26"/>
              </w:rPr>
              <w:t xml:space="preserve">постановлением </w:t>
            </w:r>
            <w:r w:rsidR="00B13674">
              <w:rPr>
                <w:sz w:val="26"/>
                <w:szCs w:val="26"/>
              </w:rPr>
              <w:t xml:space="preserve"> </w:t>
            </w:r>
            <w:r>
              <w:rPr>
                <w:sz w:val="26"/>
                <w:szCs w:val="26"/>
              </w:rPr>
              <w:t>администрации</w:t>
            </w:r>
            <w:proofErr w:type="gramEnd"/>
          </w:p>
          <w:p w:rsidR="00E86BC3" w:rsidRDefault="00E86BC3" w:rsidP="00E86BC3">
            <w:pPr>
              <w:spacing w:line="240" w:lineRule="exact"/>
              <w:contextualSpacing/>
              <w:jc w:val="both"/>
              <w:rPr>
                <w:sz w:val="26"/>
                <w:szCs w:val="26"/>
              </w:rPr>
            </w:pPr>
            <w:r>
              <w:rPr>
                <w:sz w:val="26"/>
                <w:szCs w:val="26"/>
              </w:rPr>
              <w:t>Магинского сельского поселения</w:t>
            </w:r>
          </w:p>
          <w:p w:rsidR="00E86BC3" w:rsidRDefault="00E86BC3" w:rsidP="00E86BC3">
            <w:pPr>
              <w:spacing w:line="240" w:lineRule="exact"/>
              <w:contextualSpacing/>
              <w:jc w:val="both"/>
              <w:rPr>
                <w:sz w:val="26"/>
                <w:szCs w:val="26"/>
              </w:rPr>
            </w:pPr>
          </w:p>
          <w:p w:rsidR="00E86BC3" w:rsidRDefault="00E86BC3" w:rsidP="00E86BC3">
            <w:pPr>
              <w:spacing w:line="240" w:lineRule="exact"/>
              <w:contextualSpacing/>
              <w:jc w:val="both"/>
              <w:rPr>
                <w:sz w:val="26"/>
                <w:szCs w:val="26"/>
              </w:rPr>
            </w:pPr>
            <w:r>
              <w:rPr>
                <w:sz w:val="26"/>
                <w:szCs w:val="26"/>
              </w:rPr>
              <w:t xml:space="preserve">от </w:t>
            </w:r>
            <w:r w:rsidR="00EB740D">
              <w:rPr>
                <w:sz w:val="26"/>
                <w:szCs w:val="26"/>
              </w:rPr>
              <w:t xml:space="preserve"> </w:t>
            </w:r>
            <w:r w:rsidR="00C7529B">
              <w:rPr>
                <w:sz w:val="26"/>
                <w:szCs w:val="26"/>
              </w:rPr>
              <w:t xml:space="preserve"> 01.03.2019</w:t>
            </w:r>
            <w:r w:rsidR="00EB740D">
              <w:rPr>
                <w:sz w:val="26"/>
                <w:szCs w:val="26"/>
              </w:rPr>
              <w:t xml:space="preserve">  </w:t>
            </w:r>
            <w:r w:rsidR="00C7529B">
              <w:rPr>
                <w:sz w:val="26"/>
                <w:szCs w:val="26"/>
              </w:rPr>
              <w:t xml:space="preserve">                </w:t>
            </w:r>
            <w:r w:rsidR="00EB740D">
              <w:rPr>
                <w:sz w:val="26"/>
                <w:szCs w:val="26"/>
              </w:rPr>
              <w:t xml:space="preserve">№ </w:t>
            </w:r>
            <w:r w:rsidR="00C7529B">
              <w:rPr>
                <w:sz w:val="26"/>
                <w:szCs w:val="26"/>
              </w:rPr>
              <w:t xml:space="preserve">10 </w:t>
            </w:r>
            <w:bookmarkStart w:id="0" w:name="_GoBack"/>
            <w:bookmarkEnd w:id="0"/>
            <w:r w:rsidR="00EB740D">
              <w:rPr>
                <w:sz w:val="26"/>
                <w:szCs w:val="26"/>
              </w:rPr>
              <w:t xml:space="preserve"> </w:t>
            </w:r>
            <w:r w:rsidR="00393CBE">
              <w:rPr>
                <w:sz w:val="26"/>
                <w:szCs w:val="26"/>
              </w:rPr>
              <w:t>п</w:t>
            </w:r>
          </w:p>
        </w:tc>
      </w:tr>
      <w:tr w:rsidR="00E86BC3" w:rsidTr="00E86BC3">
        <w:tc>
          <w:tcPr>
            <w:tcW w:w="5240" w:type="dxa"/>
          </w:tcPr>
          <w:p w:rsidR="00E86BC3" w:rsidRDefault="00E86BC3" w:rsidP="00E86BC3">
            <w:pPr>
              <w:spacing w:line="240" w:lineRule="exact"/>
              <w:contextualSpacing/>
              <w:jc w:val="both"/>
              <w:rPr>
                <w:sz w:val="26"/>
                <w:szCs w:val="26"/>
              </w:rPr>
            </w:pPr>
          </w:p>
        </w:tc>
        <w:tc>
          <w:tcPr>
            <w:tcW w:w="3935" w:type="dxa"/>
          </w:tcPr>
          <w:p w:rsidR="00E86BC3" w:rsidRDefault="00E86BC3" w:rsidP="00E86BC3">
            <w:pPr>
              <w:spacing w:line="240" w:lineRule="exact"/>
              <w:contextualSpacing/>
              <w:jc w:val="both"/>
              <w:rPr>
                <w:sz w:val="26"/>
                <w:szCs w:val="26"/>
              </w:rPr>
            </w:pPr>
          </w:p>
        </w:tc>
      </w:tr>
    </w:tbl>
    <w:p w:rsidR="00E86BC3" w:rsidRPr="00E86BC3" w:rsidRDefault="00E86BC3" w:rsidP="00E86BC3">
      <w:pPr>
        <w:contextualSpacing/>
        <w:jc w:val="both"/>
        <w:rPr>
          <w:sz w:val="26"/>
          <w:szCs w:val="26"/>
        </w:rPr>
      </w:pPr>
    </w:p>
    <w:p w:rsidR="00E86BC3" w:rsidRPr="00E86BC3" w:rsidRDefault="00E86BC3" w:rsidP="00E86BC3">
      <w:pPr>
        <w:contextualSpacing/>
        <w:jc w:val="both"/>
        <w:rPr>
          <w:sz w:val="26"/>
          <w:szCs w:val="26"/>
        </w:rPr>
      </w:pPr>
    </w:p>
    <w:p w:rsidR="00E86BC3" w:rsidRPr="00E86BC3" w:rsidRDefault="00E86BC3" w:rsidP="00E86BC3">
      <w:pPr>
        <w:spacing w:line="240" w:lineRule="exact"/>
        <w:contextualSpacing/>
        <w:jc w:val="center"/>
        <w:rPr>
          <w:sz w:val="26"/>
          <w:szCs w:val="26"/>
        </w:rPr>
      </w:pPr>
      <w:r w:rsidRPr="00E86BC3">
        <w:rPr>
          <w:sz w:val="26"/>
          <w:szCs w:val="26"/>
        </w:rPr>
        <w:t>ПОРЯДОК</w:t>
      </w:r>
    </w:p>
    <w:p w:rsidR="00E86BC3" w:rsidRPr="00E86BC3" w:rsidRDefault="00EB740D" w:rsidP="00E86BC3">
      <w:pPr>
        <w:spacing w:line="240" w:lineRule="exact"/>
        <w:contextualSpacing/>
        <w:jc w:val="center"/>
        <w:rPr>
          <w:sz w:val="26"/>
          <w:szCs w:val="26"/>
        </w:rPr>
      </w:pPr>
      <w:r>
        <w:rPr>
          <w:sz w:val="26"/>
          <w:szCs w:val="26"/>
        </w:rPr>
        <w:t>о</w:t>
      </w:r>
      <w:r w:rsidR="00E86BC3" w:rsidRPr="00E86BC3">
        <w:rPr>
          <w:sz w:val="26"/>
          <w:szCs w:val="26"/>
        </w:rPr>
        <w:t>пределения перечня и кодов целевых статей расходов бюджета Магинского сельского поселения, финансовое обеспечение которых осуществляется за счет межбюджетных субсидий, субвенций и иных межбюджетных трансфертов, имеющих целевое назначение</w:t>
      </w:r>
    </w:p>
    <w:p w:rsidR="00E86BC3" w:rsidRPr="00E86BC3" w:rsidRDefault="00E86BC3" w:rsidP="00E86BC3">
      <w:pPr>
        <w:ind w:firstLine="709"/>
        <w:contextualSpacing/>
        <w:jc w:val="both"/>
        <w:rPr>
          <w:sz w:val="26"/>
          <w:szCs w:val="26"/>
        </w:rPr>
      </w:pPr>
    </w:p>
    <w:p w:rsidR="00E86BC3" w:rsidRPr="00E86BC3" w:rsidRDefault="00E86BC3" w:rsidP="00E86BC3">
      <w:pPr>
        <w:ind w:firstLine="709"/>
        <w:contextualSpacing/>
        <w:jc w:val="both"/>
        <w:rPr>
          <w:sz w:val="26"/>
          <w:szCs w:val="26"/>
        </w:rPr>
      </w:pPr>
    </w:p>
    <w:p w:rsidR="00E86BC3" w:rsidRPr="00E86BC3" w:rsidRDefault="00E86BC3" w:rsidP="00E86BC3">
      <w:pPr>
        <w:numPr>
          <w:ilvl w:val="0"/>
          <w:numId w:val="1"/>
        </w:numPr>
        <w:tabs>
          <w:tab w:val="left" w:pos="993"/>
        </w:tabs>
        <w:ind w:left="0" w:firstLine="709"/>
        <w:contextualSpacing/>
        <w:jc w:val="both"/>
        <w:rPr>
          <w:sz w:val="26"/>
          <w:szCs w:val="26"/>
        </w:rPr>
      </w:pPr>
      <w:r w:rsidRPr="00E86BC3">
        <w:rPr>
          <w:sz w:val="26"/>
          <w:szCs w:val="26"/>
        </w:rPr>
        <w:t>Перечень и коды целевых статей расходов бюджета Магинского сельского поселения (далее – бюджета поселения) утверждаются в составе ведомственной структуры расходов бюджета поселения на очередной финансовый год и плановый период.</w:t>
      </w:r>
    </w:p>
    <w:p w:rsidR="00E86BC3" w:rsidRPr="00E86BC3" w:rsidRDefault="00E86BC3" w:rsidP="00E86BC3">
      <w:pPr>
        <w:contextualSpacing/>
        <w:jc w:val="both"/>
        <w:rPr>
          <w:sz w:val="26"/>
          <w:szCs w:val="26"/>
        </w:rPr>
      </w:pPr>
    </w:p>
    <w:p w:rsidR="00E86BC3" w:rsidRPr="00E86BC3" w:rsidRDefault="00E86BC3" w:rsidP="00E86BC3">
      <w:pPr>
        <w:numPr>
          <w:ilvl w:val="0"/>
          <w:numId w:val="1"/>
        </w:numPr>
        <w:tabs>
          <w:tab w:val="left" w:pos="993"/>
        </w:tabs>
        <w:ind w:left="0" w:firstLine="709"/>
        <w:contextualSpacing/>
        <w:jc w:val="both"/>
        <w:rPr>
          <w:sz w:val="26"/>
          <w:szCs w:val="26"/>
        </w:rPr>
      </w:pPr>
      <w:r w:rsidRPr="00E86BC3">
        <w:rPr>
          <w:sz w:val="26"/>
          <w:szCs w:val="26"/>
        </w:rPr>
        <w:t>Целевые статьи расходов бюджета поселения обеспечивают отражение бюджетных ассигнований по муниципальным программам, подпрограммам и (или) непрограммным направлениям деятельности органов местного самоуправления, относящихся к расходным обязательствам, подлежащим исполнению за счет средств бюджета поселения.</w:t>
      </w:r>
    </w:p>
    <w:p w:rsidR="00E86BC3" w:rsidRPr="00E86BC3" w:rsidRDefault="00E86BC3" w:rsidP="00E86BC3">
      <w:pPr>
        <w:numPr>
          <w:ilvl w:val="1"/>
          <w:numId w:val="1"/>
        </w:numPr>
        <w:tabs>
          <w:tab w:val="left" w:pos="1134"/>
        </w:tabs>
        <w:ind w:left="0" w:firstLine="709"/>
        <w:contextualSpacing/>
        <w:jc w:val="both"/>
        <w:rPr>
          <w:sz w:val="26"/>
          <w:szCs w:val="26"/>
        </w:rPr>
      </w:pPr>
      <w:r w:rsidRPr="00E86BC3">
        <w:rPr>
          <w:sz w:val="26"/>
          <w:szCs w:val="26"/>
        </w:rPr>
        <w:t xml:space="preserve">Целевым статьям расходов бюджета поселения присваиваются уникальные коды, сформированные с применением буквенно-цифрового ряда: 0, 1, 2, 3, 4, 5, 6, 7, 8, 9, А, Б, В, Г, Д, Е, Ж, И, К, Л, М, Н, О, П, Р, С, Т, У, Ф, Ц, Ч, Ш, Щ, Э, Ю, Я, </w:t>
      </w:r>
      <w:r w:rsidRPr="00E86BC3">
        <w:rPr>
          <w:sz w:val="26"/>
          <w:szCs w:val="26"/>
          <w:lang w:val="en-US"/>
        </w:rPr>
        <w:t>D</w:t>
      </w:r>
      <w:r w:rsidRPr="00E86BC3">
        <w:rPr>
          <w:sz w:val="26"/>
          <w:szCs w:val="26"/>
        </w:rPr>
        <w:t xml:space="preserve">, </w:t>
      </w:r>
      <w:proofErr w:type="gramStart"/>
      <w:r w:rsidRPr="00E86BC3">
        <w:rPr>
          <w:sz w:val="26"/>
          <w:szCs w:val="26"/>
          <w:lang w:val="en-US"/>
        </w:rPr>
        <w:t>F</w:t>
      </w:r>
      <w:r w:rsidRPr="00E86BC3">
        <w:rPr>
          <w:sz w:val="26"/>
          <w:szCs w:val="26"/>
        </w:rPr>
        <w:t>,</w:t>
      </w:r>
      <w:r w:rsidRPr="00E86BC3">
        <w:rPr>
          <w:sz w:val="26"/>
          <w:szCs w:val="26"/>
          <w:lang w:val="en-US"/>
        </w:rPr>
        <w:t>G</w:t>
      </w:r>
      <w:proofErr w:type="gramEnd"/>
      <w:r w:rsidRPr="00E86BC3">
        <w:rPr>
          <w:sz w:val="26"/>
          <w:szCs w:val="26"/>
        </w:rPr>
        <w:t>,</w:t>
      </w:r>
      <w:r w:rsidRPr="00E86BC3">
        <w:rPr>
          <w:sz w:val="26"/>
          <w:szCs w:val="26"/>
          <w:lang w:val="en-US"/>
        </w:rPr>
        <w:t>I</w:t>
      </w:r>
      <w:r w:rsidRPr="00E86BC3">
        <w:rPr>
          <w:sz w:val="26"/>
          <w:szCs w:val="26"/>
        </w:rPr>
        <w:t>,</w:t>
      </w:r>
      <w:r w:rsidRPr="00E86BC3">
        <w:rPr>
          <w:sz w:val="26"/>
          <w:szCs w:val="26"/>
          <w:lang w:val="en-US"/>
        </w:rPr>
        <w:t>J</w:t>
      </w:r>
      <w:r w:rsidRPr="00E86BC3">
        <w:rPr>
          <w:sz w:val="26"/>
          <w:szCs w:val="26"/>
        </w:rPr>
        <w:t>,</w:t>
      </w:r>
      <w:r w:rsidRPr="00E86BC3">
        <w:rPr>
          <w:sz w:val="26"/>
          <w:szCs w:val="26"/>
          <w:lang w:val="en-US"/>
        </w:rPr>
        <w:t>L</w:t>
      </w:r>
      <w:r w:rsidRPr="00E86BC3">
        <w:rPr>
          <w:sz w:val="26"/>
          <w:szCs w:val="26"/>
        </w:rPr>
        <w:t>,</w:t>
      </w:r>
      <w:r w:rsidRPr="00E86BC3">
        <w:rPr>
          <w:sz w:val="26"/>
          <w:szCs w:val="26"/>
          <w:lang w:val="en-US"/>
        </w:rPr>
        <w:t>N</w:t>
      </w:r>
      <w:r w:rsidRPr="00E86BC3">
        <w:rPr>
          <w:sz w:val="26"/>
          <w:szCs w:val="26"/>
        </w:rPr>
        <w:t>,</w:t>
      </w:r>
      <w:r w:rsidRPr="00E86BC3">
        <w:rPr>
          <w:sz w:val="26"/>
          <w:szCs w:val="26"/>
          <w:lang w:val="en-US"/>
        </w:rPr>
        <w:t>Q</w:t>
      </w:r>
      <w:r w:rsidRPr="00E86BC3">
        <w:rPr>
          <w:sz w:val="26"/>
          <w:szCs w:val="26"/>
        </w:rPr>
        <w:t>,</w:t>
      </w:r>
      <w:r w:rsidRPr="00E86BC3">
        <w:rPr>
          <w:sz w:val="26"/>
          <w:szCs w:val="26"/>
          <w:lang w:val="en-US"/>
        </w:rPr>
        <w:t>R</w:t>
      </w:r>
      <w:r w:rsidRPr="00E86BC3">
        <w:rPr>
          <w:sz w:val="26"/>
          <w:szCs w:val="26"/>
        </w:rPr>
        <w:t>,</w:t>
      </w:r>
      <w:r w:rsidRPr="00E86BC3">
        <w:rPr>
          <w:sz w:val="26"/>
          <w:szCs w:val="26"/>
          <w:lang w:val="en-US"/>
        </w:rPr>
        <w:t>S</w:t>
      </w:r>
      <w:r w:rsidRPr="00E86BC3">
        <w:rPr>
          <w:sz w:val="26"/>
          <w:szCs w:val="26"/>
        </w:rPr>
        <w:t>,</w:t>
      </w:r>
      <w:r w:rsidRPr="00E86BC3">
        <w:rPr>
          <w:sz w:val="26"/>
          <w:szCs w:val="26"/>
          <w:lang w:val="en-US"/>
        </w:rPr>
        <w:t>U</w:t>
      </w:r>
      <w:r w:rsidRPr="00E86BC3">
        <w:rPr>
          <w:sz w:val="26"/>
          <w:szCs w:val="26"/>
        </w:rPr>
        <w:t>,</w:t>
      </w:r>
      <w:r w:rsidRPr="00E86BC3">
        <w:rPr>
          <w:sz w:val="26"/>
          <w:szCs w:val="26"/>
          <w:lang w:val="en-US"/>
        </w:rPr>
        <w:t>V</w:t>
      </w:r>
      <w:r w:rsidRPr="00E86BC3">
        <w:rPr>
          <w:sz w:val="26"/>
          <w:szCs w:val="26"/>
        </w:rPr>
        <w:t>,</w:t>
      </w:r>
      <w:r w:rsidRPr="00E86BC3">
        <w:rPr>
          <w:sz w:val="26"/>
          <w:szCs w:val="26"/>
          <w:lang w:val="en-US"/>
        </w:rPr>
        <w:t>W</w:t>
      </w:r>
      <w:r w:rsidRPr="00E86BC3">
        <w:rPr>
          <w:sz w:val="26"/>
          <w:szCs w:val="26"/>
        </w:rPr>
        <w:t>,</w:t>
      </w:r>
      <w:r w:rsidRPr="00E86BC3">
        <w:rPr>
          <w:sz w:val="26"/>
          <w:szCs w:val="26"/>
          <w:lang w:val="en-US"/>
        </w:rPr>
        <w:t>Y</w:t>
      </w:r>
      <w:r w:rsidRPr="00E86BC3">
        <w:rPr>
          <w:sz w:val="26"/>
          <w:szCs w:val="26"/>
        </w:rPr>
        <w:t>,</w:t>
      </w:r>
      <w:r w:rsidRPr="00E86BC3">
        <w:rPr>
          <w:sz w:val="26"/>
          <w:szCs w:val="26"/>
          <w:lang w:val="en-US"/>
        </w:rPr>
        <w:t>Z</w:t>
      </w:r>
      <w:r w:rsidRPr="00E86BC3">
        <w:rPr>
          <w:sz w:val="26"/>
          <w:szCs w:val="26"/>
        </w:rPr>
        <w:t>.</w:t>
      </w:r>
    </w:p>
    <w:p w:rsidR="00E86BC3" w:rsidRPr="00E86BC3" w:rsidRDefault="00E86BC3" w:rsidP="00E86BC3">
      <w:pPr>
        <w:numPr>
          <w:ilvl w:val="1"/>
          <w:numId w:val="1"/>
        </w:numPr>
        <w:tabs>
          <w:tab w:val="left" w:pos="1276"/>
          <w:tab w:val="left" w:pos="1560"/>
        </w:tabs>
        <w:ind w:left="0" w:firstLine="709"/>
        <w:contextualSpacing/>
        <w:jc w:val="both"/>
        <w:rPr>
          <w:sz w:val="26"/>
          <w:szCs w:val="26"/>
        </w:rPr>
      </w:pPr>
      <w:r w:rsidRPr="00E86BC3">
        <w:rPr>
          <w:sz w:val="26"/>
          <w:szCs w:val="26"/>
        </w:rPr>
        <w:t>Код целевой статьи расходов бюджета поселения состоит из десяти разрядов (8-17 разряды кода классификации расходов бюджетов):</w:t>
      </w:r>
    </w:p>
    <w:p w:rsidR="00E86BC3" w:rsidRPr="00E86BC3" w:rsidRDefault="00E86BC3" w:rsidP="00E86BC3">
      <w:pPr>
        <w:contextualSpacing/>
        <w:jc w:val="both"/>
        <w:rPr>
          <w:sz w:val="26"/>
          <w:szCs w:val="26"/>
        </w:rPr>
      </w:pP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1287"/>
        <w:gridCol w:w="2088"/>
        <w:gridCol w:w="1149"/>
        <w:gridCol w:w="1114"/>
        <w:gridCol w:w="568"/>
        <w:gridCol w:w="561"/>
        <w:gridCol w:w="521"/>
        <w:gridCol w:w="558"/>
        <w:gridCol w:w="506"/>
      </w:tblGrid>
      <w:tr w:rsidR="00E86BC3" w:rsidRPr="00E86BC3" w:rsidTr="006C4103">
        <w:trPr>
          <w:jc w:val="center"/>
        </w:trPr>
        <w:tc>
          <w:tcPr>
            <w:tcW w:w="9132" w:type="dxa"/>
            <w:gridSpan w:val="10"/>
            <w:shd w:val="clear" w:color="auto" w:fill="auto"/>
          </w:tcPr>
          <w:p w:rsidR="00E86BC3" w:rsidRPr="00E86BC3" w:rsidRDefault="00E86BC3" w:rsidP="00E86BC3">
            <w:pPr>
              <w:contextualSpacing/>
              <w:jc w:val="center"/>
              <w:rPr>
                <w:sz w:val="26"/>
                <w:szCs w:val="26"/>
              </w:rPr>
            </w:pPr>
            <w:r w:rsidRPr="00E86BC3">
              <w:rPr>
                <w:sz w:val="26"/>
                <w:szCs w:val="26"/>
              </w:rPr>
              <w:t>Целевая статья</w:t>
            </w:r>
          </w:p>
        </w:tc>
      </w:tr>
      <w:tr w:rsidR="00E86BC3" w:rsidRPr="00E86BC3" w:rsidTr="006C4103">
        <w:trPr>
          <w:jc w:val="center"/>
        </w:trPr>
        <w:tc>
          <w:tcPr>
            <w:tcW w:w="1410" w:type="dxa"/>
            <w:gridSpan w:val="2"/>
            <w:shd w:val="clear" w:color="auto" w:fill="auto"/>
          </w:tcPr>
          <w:p w:rsidR="00E86BC3" w:rsidRPr="00E86BC3" w:rsidRDefault="00E86BC3" w:rsidP="00E86BC3">
            <w:pPr>
              <w:contextualSpacing/>
              <w:jc w:val="center"/>
              <w:rPr>
                <w:sz w:val="26"/>
                <w:szCs w:val="26"/>
              </w:rPr>
            </w:pPr>
            <w:r w:rsidRPr="00E86BC3">
              <w:rPr>
                <w:sz w:val="26"/>
                <w:szCs w:val="26"/>
              </w:rPr>
              <w:t>Номер муниципальной программы (непрограммные расходы)</w:t>
            </w:r>
          </w:p>
        </w:tc>
        <w:tc>
          <w:tcPr>
            <w:tcW w:w="2259" w:type="dxa"/>
            <w:shd w:val="clear" w:color="auto" w:fill="auto"/>
          </w:tcPr>
          <w:p w:rsidR="00E86BC3" w:rsidRPr="00E86BC3" w:rsidRDefault="00E86BC3" w:rsidP="00E86BC3">
            <w:pPr>
              <w:contextualSpacing/>
              <w:jc w:val="center"/>
              <w:rPr>
                <w:sz w:val="26"/>
                <w:szCs w:val="26"/>
              </w:rPr>
            </w:pPr>
            <w:r w:rsidRPr="00E86BC3">
              <w:rPr>
                <w:sz w:val="26"/>
                <w:szCs w:val="26"/>
              </w:rPr>
              <w:t>Номер подпрограммы</w:t>
            </w:r>
          </w:p>
        </w:tc>
        <w:tc>
          <w:tcPr>
            <w:tcW w:w="2487" w:type="dxa"/>
            <w:gridSpan w:val="2"/>
            <w:shd w:val="clear" w:color="auto" w:fill="auto"/>
          </w:tcPr>
          <w:p w:rsidR="00E86BC3" w:rsidRPr="00E86BC3" w:rsidRDefault="00E86BC3" w:rsidP="00E86BC3">
            <w:pPr>
              <w:contextualSpacing/>
              <w:jc w:val="center"/>
              <w:rPr>
                <w:sz w:val="26"/>
                <w:szCs w:val="26"/>
              </w:rPr>
            </w:pPr>
            <w:r w:rsidRPr="00E86BC3">
              <w:rPr>
                <w:sz w:val="26"/>
                <w:szCs w:val="26"/>
              </w:rPr>
              <w:t>Номер основного мероприятия муниципальной программы</w:t>
            </w:r>
          </w:p>
        </w:tc>
        <w:tc>
          <w:tcPr>
            <w:tcW w:w="2976" w:type="dxa"/>
            <w:gridSpan w:val="5"/>
            <w:shd w:val="clear" w:color="auto" w:fill="auto"/>
          </w:tcPr>
          <w:p w:rsidR="00E86BC3" w:rsidRPr="00E86BC3" w:rsidRDefault="00E86BC3" w:rsidP="00E86BC3">
            <w:pPr>
              <w:contextualSpacing/>
              <w:jc w:val="center"/>
              <w:rPr>
                <w:sz w:val="26"/>
                <w:szCs w:val="26"/>
              </w:rPr>
            </w:pPr>
            <w:r w:rsidRPr="00E86BC3">
              <w:rPr>
                <w:sz w:val="26"/>
                <w:szCs w:val="26"/>
              </w:rPr>
              <w:t>Код направления расходов</w:t>
            </w:r>
          </w:p>
        </w:tc>
      </w:tr>
      <w:tr w:rsidR="00E86BC3" w:rsidRPr="00E86BC3" w:rsidTr="006C4103">
        <w:trPr>
          <w:jc w:val="center"/>
        </w:trPr>
        <w:tc>
          <w:tcPr>
            <w:tcW w:w="447" w:type="dxa"/>
            <w:shd w:val="clear" w:color="auto" w:fill="auto"/>
          </w:tcPr>
          <w:p w:rsidR="00E86BC3" w:rsidRPr="00E86BC3" w:rsidRDefault="00E86BC3" w:rsidP="00E86BC3">
            <w:pPr>
              <w:contextualSpacing/>
              <w:jc w:val="center"/>
              <w:rPr>
                <w:sz w:val="26"/>
                <w:szCs w:val="26"/>
              </w:rPr>
            </w:pPr>
            <w:r w:rsidRPr="00E86BC3">
              <w:rPr>
                <w:sz w:val="26"/>
                <w:szCs w:val="26"/>
              </w:rPr>
              <w:t>8</w:t>
            </w:r>
          </w:p>
        </w:tc>
        <w:tc>
          <w:tcPr>
            <w:tcW w:w="0" w:type="auto"/>
            <w:shd w:val="clear" w:color="auto" w:fill="auto"/>
          </w:tcPr>
          <w:p w:rsidR="00E86BC3" w:rsidRPr="00E86BC3" w:rsidRDefault="00E86BC3" w:rsidP="00E86BC3">
            <w:pPr>
              <w:contextualSpacing/>
              <w:jc w:val="center"/>
              <w:rPr>
                <w:sz w:val="26"/>
                <w:szCs w:val="26"/>
              </w:rPr>
            </w:pPr>
            <w:r w:rsidRPr="00E86BC3">
              <w:rPr>
                <w:sz w:val="26"/>
                <w:szCs w:val="26"/>
              </w:rPr>
              <w:t>9</w:t>
            </w:r>
          </w:p>
        </w:tc>
        <w:tc>
          <w:tcPr>
            <w:tcW w:w="2259" w:type="dxa"/>
            <w:shd w:val="clear" w:color="auto" w:fill="auto"/>
          </w:tcPr>
          <w:p w:rsidR="00E86BC3" w:rsidRPr="00E86BC3" w:rsidRDefault="00E86BC3" w:rsidP="00E86BC3">
            <w:pPr>
              <w:contextualSpacing/>
              <w:jc w:val="center"/>
              <w:rPr>
                <w:sz w:val="26"/>
                <w:szCs w:val="26"/>
              </w:rPr>
            </w:pPr>
            <w:r w:rsidRPr="00E86BC3">
              <w:rPr>
                <w:sz w:val="26"/>
                <w:szCs w:val="26"/>
              </w:rPr>
              <w:t>10</w:t>
            </w:r>
          </w:p>
        </w:tc>
        <w:tc>
          <w:tcPr>
            <w:tcW w:w="1187" w:type="dxa"/>
            <w:shd w:val="clear" w:color="auto" w:fill="auto"/>
          </w:tcPr>
          <w:p w:rsidR="00E86BC3" w:rsidRPr="00E86BC3" w:rsidRDefault="00E86BC3" w:rsidP="00E86BC3">
            <w:pPr>
              <w:contextualSpacing/>
              <w:jc w:val="center"/>
              <w:rPr>
                <w:sz w:val="26"/>
                <w:szCs w:val="26"/>
              </w:rPr>
            </w:pPr>
            <w:r w:rsidRPr="00E86BC3">
              <w:rPr>
                <w:sz w:val="26"/>
                <w:szCs w:val="26"/>
              </w:rPr>
              <w:t>11</w:t>
            </w:r>
          </w:p>
        </w:tc>
        <w:tc>
          <w:tcPr>
            <w:tcW w:w="1300" w:type="dxa"/>
            <w:shd w:val="clear" w:color="auto" w:fill="auto"/>
          </w:tcPr>
          <w:p w:rsidR="00E86BC3" w:rsidRPr="00E86BC3" w:rsidRDefault="00E86BC3" w:rsidP="00E86BC3">
            <w:pPr>
              <w:contextualSpacing/>
              <w:jc w:val="center"/>
              <w:rPr>
                <w:sz w:val="26"/>
                <w:szCs w:val="26"/>
              </w:rPr>
            </w:pPr>
            <w:r w:rsidRPr="00E86BC3">
              <w:rPr>
                <w:sz w:val="26"/>
                <w:szCs w:val="26"/>
              </w:rPr>
              <w:t>12</w:t>
            </w:r>
          </w:p>
        </w:tc>
        <w:tc>
          <w:tcPr>
            <w:tcW w:w="640" w:type="dxa"/>
            <w:shd w:val="clear" w:color="auto" w:fill="auto"/>
          </w:tcPr>
          <w:p w:rsidR="00E86BC3" w:rsidRPr="00E86BC3" w:rsidRDefault="00E86BC3" w:rsidP="00E86BC3">
            <w:pPr>
              <w:contextualSpacing/>
              <w:jc w:val="center"/>
              <w:rPr>
                <w:sz w:val="26"/>
                <w:szCs w:val="26"/>
              </w:rPr>
            </w:pPr>
            <w:r w:rsidRPr="00E86BC3">
              <w:rPr>
                <w:sz w:val="26"/>
                <w:szCs w:val="26"/>
              </w:rPr>
              <w:t>13</w:t>
            </w:r>
          </w:p>
        </w:tc>
        <w:tc>
          <w:tcPr>
            <w:tcW w:w="629" w:type="dxa"/>
            <w:shd w:val="clear" w:color="auto" w:fill="auto"/>
          </w:tcPr>
          <w:p w:rsidR="00E86BC3" w:rsidRPr="00E86BC3" w:rsidRDefault="00E86BC3" w:rsidP="00E86BC3">
            <w:pPr>
              <w:contextualSpacing/>
              <w:jc w:val="center"/>
              <w:rPr>
                <w:sz w:val="26"/>
                <w:szCs w:val="26"/>
              </w:rPr>
            </w:pPr>
            <w:r w:rsidRPr="00E86BC3">
              <w:rPr>
                <w:sz w:val="26"/>
                <w:szCs w:val="26"/>
              </w:rPr>
              <w:t>14</w:t>
            </w:r>
          </w:p>
        </w:tc>
        <w:tc>
          <w:tcPr>
            <w:tcW w:w="556" w:type="dxa"/>
            <w:shd w:val="clear" w:color="auto" w:fill="auto"/>
          </w:tcPr>
          <w:p w:rsidR="00E86BC3" w:rsidRPr="00E86BC3" w:rsidRDefault="00E86BC3" w:rsidP="00E86BC3">
            <w:pPr>
              <w:contextualSpacing/>
              <w:jc w:val="center"/>
              <w:rPr>
                <w:sz w:val="26"/>
                <w:szCs w:val="26"/>
              </w:rPr>
            </w:pPr>
            <w:r w:rsidRPr="00E86BC3">
              <w:rPr>
                <w:sz w:val="26"/>
                <w:szCs w:val="26"/>
              </w:rPr>
              <w:t>15</w:t>
            </w:r>
          </w:p>
        </w:tc>
        <w:tc>
          <w:tcPr>
            <w:tcW w:w="622" w:type="dxa"/>
            <w:shd w:val="clear" w:color="auto" w:fill="auto"/>
          </w:tcPr>
          <w:p w:rsidR="00E86BC3" w:rsidRPr="00E86BC3" w:rsidRDefault="00E86BC3" w:rsidP="00E86BC3">
            <w:pPr>
              <w:contextualSpacing/>
              <w:jc w:val="center"/>
              <w:rPr>
                <w:sz w:val="26"/>
                <w:szCs w:val="26"/>
              </w:rPr>
            </w:pPr>
            <w:r w:rsidRPr="00E86BC3">
              <w:rPr>
                <w:sz w:val="26"/>
                <w:szCs w:val="26"/>
              </w:rPr>
              <w:t>16</w:t>
            </w:r>
          </w:p>
        </w:tc>
        <w:tc>
          <w:tcPr>
            <w:tcW w:w="0" w:type="auto"/>
            <w:shd w:val="clear" w:color="auto" w:fill="auto"/>
          </w:tcPr>
          <w:p w:rsidR="00E86BC3" w:rsidRPr="00E86BC3" w:rsidRDefault="00E86BC3" w:rsidP="00E86BC3">
            <w:pPr>
              <w:contextualSpacing/>
              <w:jc w:val="center"/>
              <w:rPr>
                <w:sz w:val="26"/>
                <w:szCs w:val="26"/>
              </w:rPr>
            </w:pPr>
            <w:r w:rsidRPr="00E86BC3">
              <w:rPr>
                <w:sz w:val="26"/>
                <w:szCs w:val="26"/>
              </w:rPr>
              <w:t>17</w:t>
            </w:r>
          </w:p>
        </w:tc>
      </w:tr>
    </w:tbl>
    <w:p w:rsidR="00B13674" w:rsidRDefault="00E86BC3" w:rsidP="00E86BC3">
      <w:pPr>
        <w:tabs>
          <w:tab w:val="left" w:pos="709"/>
        </w:tabs>
        <w:contextualSpacing/>
        <w:jc w:val="both"/>
        <w:rPr>
          <w:sz w:val="26"/>
          <w:szCs w:val="26"/>
        </w:rPr>
      </w:pPr>
      <w:r>
        <w:rPr>
          <w:sz w:val="26"/>
          <w:szCs w:val="26"/>
        </w:rPr>
        <w:t xml:space="preserve">          </w:t>
      </w:r>
    </w:p>
    <w:p w:rsidR="00E86BC3" w:rsidRPr="00E86BC3" w:rsidRDefault="00B13674" w:rsidP="00B13674">
      <w:pPr>
        <w:tabs>
          <w:tab w:val="left" w:pos="709"/>
        </w:tabs>
        <w:contextualSpacing/>
        <w:jc w:val="both"/>
        <w:rPr>
          <w:sz w:val="26"/>
          <w:szCs w:val="26"/>
        </w:rPr>
      </w:pPr>
      <w:r>
        <w:rPr>
          <w:sz w:val="26"/>
          <w:szCs w:val="26"/>
        </w:rPr>
        <w:t xml:space="preserve">          </w:t>
      </w:r>
      <w:r w:rsidR="00E86BC3" w:rsidRPr="00E86BC3">
        <w:rPr>
          <w:sz w:val="26"/>
          <w:szCs w:val="26"/>
        </w:rPr>
        <w:t>где:</w:t>
      </w:r>
    </w:p>
    <w:p w:rsidR="00E86BC3" w:rsidRPr="00E86BC3" w:rsidRDefault="00E86BC3" w:rsidP="00E86BC3">
      <w:pPr>
        <w:contextualSpacing/>
        <w:jc w:val="both"/>
        <w:rPr>
          <w:sz w:val="26"/>
          <w:szCs w:val="26"/>
        </w:rPr>
      </w:pPr>
      <w:r w:rsidRPr="00E86BC3">
        <w:rPr>
          <w:sz w:val="26"/>
          <w:szCs w:val="26"/>
        </w:rPr>
        <w:t>8 и 9 разряды – номер муниципальной программы или непрограммные расходы;</w:t>
      </w:r>
    </w:p>
    <w:p w:rsidR="00E86BC3" w:rsidRPr="00E86BC3" w:rsidRDefault="00E86BC3" w:rsidP="00E86BC3">
      <w:pPr>
        <w:contextualSpacing/>
        <w:jc w:val="both"/>
        <w:rPr>
          <w:sz w:val="26"/>
          <w:szCs w:val="26"/>
        </w:rPr>
      </w:pPr>
      <w:r w:rsidRPr="00E86BC3">
        <w:rPr>
          <w:sz w:val="26"/>
          <w:szCs w:val="26"/>
        </w:rPr>
        <w:t>10 разряд – порядковый номер подпрограммы муниципальной программы;</w:t>
      </w:r>
    </w:p>
    <w:p w:rsidR="00E86BC3" w:rsidRPr="00E86BC3" w:rsidRDefault="00E86BC3" w:rsidP="00E86BC3">
      <w:pPr>
        <w:contextualSpacing/>
        <w:jc w:val="both"/>
        <w:rPr>
          <w:sz w:val="26"/>
          <w:szCs w:val="26"/>
        </w:rPr>
      </w:pPr>
      <w:r w:rsidRPr="00E86BC3">
        <w:rPr>
          <w:sz w:val="26"/>
          <w:szCs w:val="26"/>
        </w:rPr>
        <w:t>11 и 12 разряды – номер основного мероприятия муниципальной программы;</w:t>
      </w:r>
    </w:p>
    <w:p w:rsidR="00E86BC3" w:rsidRPr="00E86BC3" w:rsidRDefault="00E86BC3" w:rsidP="00E86BC3">
      <w:pPr>
        <w:contextualSpacing/>
        <w:jc w:val="both"/>
        <w:rPr>
          <w:sz w:val="26"/>
          <w:szCs w:val="26"/>
        </w:rPr>
      </w:pPr>
      <w:r w:rsidRPr="00E86BC3">
        <w:rPr>
          <w:sz w:val="26"/>
          <w:szCs w:val="26"/>
        </w:rPr>
        <w:t>13-17 разряды – код направления расходов.</w:t>
      </w:r>
    </w:p>
    <w:p w:rsidR="00E86BC3" w:rsidRPr="00E86BC3" w:rsidRDefault="00E86BC3" w:rsidP="00E86BC3">
      <w:pPr>
        <w:numPr>
          <w:ilvl w:val="1"/>
          <w:numId w:val="1"/>
        </w:numPr>
        <w:tabs>
          <w:tab w:val="left" w:pos="1276"/>
          <w:tab w:val="left" w:pos="1560"/>
        </w:tabs>
        <w:ind w:left="0" w:firstLine="709"/>
        <w:contextualSpacing/>
        <w:jc w:val="both"/>
        <w:rPr>
          <w:sz w:val="26"/>
          <w:szCs w:val="26"/>
        </w:rPr>
      </w:pPr>
      <w:r w:rsidRPr="00E86BC3">
        <w:rPr>
          <w:sz w:val="26"/>
          <w:szCs w:val="26"/>
        </w:rPr>
        <w:t>Код направления расходов соответствует основному мероприятию муниципальной программы.</w:t>
      </w:r>
    </w:p>
    <w:p w:rsidR="00E86BC3" w:rsidRPr="00E86BC3" w:rsidRDefault="00E86BC3" w:rsidP="00E86BC3">
      <w:pPr>
        <w:numPr>
          <w:ilvl w:val="1"/>
          <w:numId w:val="1"/>
        </w:numPr>
        <w:tabs>
          <w:tab w:val="left" w:pos="1134"/>
        </w:tabs>
        <w:ind w:left="0" w:firstLine="709"/>
        <w:contextualSpacing/>
        <w:jc w:val="both"/>
        <w:rPr>
          <w:sz w:val="26"/>
          <w:szCs w:val="26"/>
        </w:rPr>
      </w:pPr>
      <w:r w:rsidRPr="00E86BC3">
        <w:rPr>
          <w:sz w:val="26"/>
          <w:szCs w:val="26"/>
        </w:rPr>
        <w:t>Отражение расходов бюджета поселения, источником финансового обеспечения которых являются субсидии, субвенции, иные межбюджетные трансферты, имеющие целевое назначение, предоставляемые из краевого бюджета, осуществляется по целевым статьям расходов бюджета поселения, включающим коды направлений расходов (14-17 разряды кода целевой статьи), идентичные кодам соответствующих направлений расходов  краевого бюджета, по которым отражаются расходы краевого бюджетов на предоставление вышеуказанных межбюджетных трансфертов без включения (отражения) в наименование указанного направления расходов указания на наименование краевого межбюджетного трансферта, являющегося источником финансового обеспечения расходов бюджета поселения.</w:t>
      </w:r>
    </w:p>
    <w:p w:rsidR="00E86BC3" w:rsidRPr="00E86BC3" w:rsidRDefault="00E86BC3" w:rsidP="00E86BC3">
      <w:pPr>
        <w:numPr>
          <w:ilvl w:val="1"/>
          <w:numId w:val="1"/>
        </w:numPr>
        <w:tabs>
          <w:tab w:val="left" w:pos="1276"/>
        </w:tabs>
        <w:ind w:left="0" w:firstLine="709"/>
        <w:contextualSpacing/>
        <w:jc w:val="both"/>
        <w:rPr>
          <w:sz w:val="26"/>
          <w:szCs w:val="26"/>
        </w:rPr>
      </w:pPr>
      <w:r w:rsidRPr="00E86BC3">
        <w:rPr>
          <w:sz w:val="26"/>
          <w:szCs w:val="26"/>
        </w:rPr>
        <w:t>Для отражения расходов бюджета поселения, источником финансового обеспечения которых являются субвенции и иные межбюджетные трансферты, имеющие целевое назначение, предоставленные из федерального бюджета (кроме субсидий), сохраняется классификация федерального бюджета, 13-17 разряды направления расходов (30000-39990 и 50000-59990).</w:t>
      </w:r>
    </w:p>
    <w:p w:rsidR="00E86BC3" w:rsidRPr="00E86BC3" w:rsidRDefault="00E86BC3" w:rsidP="00E86BC3">
      <w:pPr>
        <w:numPr>
          <w:ilvl w:val="1"/>
          <w:numId w:val="1"/>
        </w:numPr>
        <w:tabs>
          <w:tab w:val="left" w:pos="1134"/>
        </w:tabs>
        <w:ind w:left="0" w:firstLine="709"/>
        <w:contextualSpacing/>
        <w:jc w:val="both"/>
        <w:rPr>
          <w:sz w:val="26"/>
          <w:szCs w:val="26"/>
        </w:rPr>
      </w:pPr>
      <w:r w:rsidRPr="00E86BC3">
        <w:rPr>
          <w:sz w:val="26"/>
          <w:szCs w:val="26"/>
        </w:rPr>
        <w:t xml:space="preserve">Для отражения расходов бюджета поселения (включая долю средств краевого и федерального бюджетов), в рамках </w:t>
      </w:r>
      <w:proofErr w:type="spellStart"/>
      <w:r w:rsidRPr="00E86BC3">
        <w:rPr>
          <w:sz w:val="26"/>
          <w:szCs w:val="26"/>
        </w:rPr>
        <w:t>софинансирования</w:t>
      </w:r>
      <w:proofErr w:type="spellEnd"/>
      <w:r w:rsidRPr="00E86BC3">
        <w:rPr>
          <w:sz w:val="26"/>
          <w:szCs w:val="26"/>
        </w:rPr>
        <w:t xml:space="preserve"> которых из краевого бюджета предоставляются субсидии, в том числе за счет субсидий из федерального бюджета, коды направления расходов содержат значения </w:t>
      </w:r>
      <w:r w:rsidRPr="00E86BC3">
        <w:rPr>
          <w:sz w:val="26"/>
          <w:szCs w:val="26"/>
          <w:lang w:val="en-US"/>
        </w:rPr>
        <w:t>L</w:t>
      </w:r>
      <w:r w:rsidRPr="00E86BC3">
        <w:rPr>
          <w:sz w:val="26"/>
          <w:szCs w:val="26"/>
        </w:rPr>
        <w:t>0000-</w:t>
      </w:r>
      <w:r w:rsidRPr="00E86BC3">
        <w:rPr>
          <w:sz w:val="26"/>
          <w:szCs w:val="26"/>
          <w:lang w:val="en-US"/>
        </w:rPr>
        <w:t>L</w:t>
      </w:r>
      <w:proofErr w:type="gramStart"/>
      <w:r w:rsidRPr="00E86BC3">
        <w:rPr>
          <w:sz w:val="26"/>
          <w:szCs w:val="26"/>
        </w:rPr>
        <w:t>9990  с</w:t>
      </w:r>
      <w:proofErr w:type="gramEnd"/>
      <w:r w:rsidRPr="00E86BC3">
        <w:rPr>
          <w:sz w:val="26"/>
          <w:szCs w:val="26"/>
        </w:rPr>
        <w:t xml:space="preserve"> однозначной увязкой указанных кодов направления расходов с кодами направления расходов краевого бюджета (14-17 разряды – сохраняется классификация краевого бюджета).</w:t>
      </w:r>
    </w:p>
    <w:p w:rsidR="00E86BC3" w:rsidRPr="00E86BC3" w:rsidRDefault="00E86BC3" w:rsidP="00E86BC3">
      <w:pPr>
        <w:numPr>
          <w:ilvl w:val="1"/>
          <w:numId w:val="1"/>
        </w:numPr>
        <w:tabs>
          <w:tab w:val="left" w:pos="1276"/>
        </w:tabs>
        <w:ind w:left="0" w:firstLine="709"/>
        <w:contextualSpacing/>
        <w:jc w:val="both"/>
        <w:rPr>
          <w:sz w:val="26"/>
          <w:szCs w:val="26"/>
        </w:rPr>
      </w:pPr>
      <w:r w:rsidRPr="00E86BC3">
        <w:rPr>
          <w:sz w:val="26"/>
          <w:szCs w:val="26"/>
        </w:rPr>
        <w:t xml:space="preserve">Для отражения расходов бюджета поселения (включая долю средств краевого бюджета), в целях </w:t>
      </w:r>
      <w:proofErr w:type="spellStart"/>
      <w:r w:rsidRPr="00E86BC3">
        <w:rPr>
          <w:sz w:val="26"/>
          <w:szCs w:val="26"/>
        </w:rPr>
        <w:t>софинансирования</w:t>
      </w:r>
      <w:proofErr w:type="spellEnd"/>
      <w:r w:rsidRPr="00E86BC3">
        <w:rPr>
          <w:sz w:val="26"/>
          <w:szCs w:val="26"/>
        </w:rPr>
        <w:t xml:space="preserve"> которых из краевого бюджета предоставляются субсидии, применяется 13 разряд буква </w:t>
      </w:r>
      <w:r w:rsidRPr="00E86BC3">
        <w:rPr>
          <w:sz w:val="26"/>
          <w:szCs w:val="26"/>
          <w:lang w:val="en-US"/>
        </w:rPr>
        <w:t>S</w:t>
      </w:r>
      <w:r w:rsidRPr="00E86BC3">
        <w:rPr>
          <w:sz w:val="26"/>
          <w:szCs w:val="26"/>
        </w:rPr>
        <w:t xml:space="preserve"> (</w:t>
      </w:r>
      <w:r w:rsidRPr="00E86BC3">
        <w:rPr>
          <w:sz w:val="26"/>
          <w:szCs w:val="26"/>
          <w:lang w:val="en-US"/>
        </w:rPr>
        <w:t>S</w:t>
      </w:r>
      <w:r w:rsidRPr="00E86BC3">
        <w:rPr>
          <w:sz w:val="26"/>
          <w:szCs w:val="26"/>
        </w:rPr>
        <w:t>0000-</w:t>
      </w:r>
      <w:r w:rsidRPr="00E86BC3">
        <w:rPr>
          <w:sz w:val="26"/>
          <w:szCs w:val="26"/>
          <w:lang w:val="en-US"/>
        </w:rPr>
        <w:t>S</w:t>
      </w:r>
      <w:r w:rsidRPr="00E86BC3">
        <w:rPr>
          <w:sz w:val="26"/>
          <w:szCs w:val="26"/>
        </w:rPr>
        <w:t>9990), при этом:</w:t>
      </w:r>
    </w:p>
    <w:p w:rsidR="00E86BC3" w:rsidRPr="00E86BC3" w:rsidRDefault="00E86BC3" w:rsidP="00E86BC3">
      <w:pPr>
        <w:ind w:firstLine="709"/>
        <w:contextualSpacing/>
        <w:jc w:val="both"/>
        <w:rPr>
          <w:sz w:val="26"/>
          <w:szCs w:val="26"/>
        </w:rPr>
      </w:pPr>
      <w:r w:rsidRPr="00E86BC3">
        <w:rPr>
          <w:sz w:val="26"/>
          <w:szCs w:val="26"/>
        </w:rPr>
        <w:t>для отражения доли расходов краевого бюджета - 14-17 разряды сохраняется классификация краевого бюджета;</w:t>
      </w:r>
    </w:p>
    <w:p w:rsidR="00E86BC3" w:rsidRPr="00E86BC3" w:rsidRDefault="00E86BC3" w:rsidP="00E86BC3">
      <w:pPr>
        <w:pStyle w:val="a5"/>
        <w:ind w:left="0" w:firstLine="709"/>
        <w:jc w:val="both"/>
        <w:rPr>
          <w:szCs w:val="26"/>
        </w:rPr>
      </w:pPr>
      <w:r w:rsidRPr="00E86BC3">
        <w:rPr>
          <w:szCs w:val="26"/>
        </w:rPr>
        <w:t>для отражения доли расходов бюджета поселения - 14-16 разряды сохраняется классификация краевого бюджета, 17 разряд применяется буква П.</w:t>
      </w:r>
    </w:p>
    <w:p w:rsidR="00E86BC3" w:rsidRPr="00E86BC3" w:rsidRDefault="00E86BC3" w:rsidP="00E86BC3">
      <w:pPr>
        <w:pStyle w:val="a5"/>
        <w:numPr>
          <w:ilvl w:val="1"/>
          <w:numId w:val="1"/>
        </w:numPr>
        <w:tabs>
          <w:tab w:val="left" w:pos="1134"/>
        </w:tabs>
        <w:ind w:left="0" w:firstLine="709"/>
        <w:jc w:val="both"/>
        <w:rPr>
          <w:szCs w:val="26"/>
        </w:rPr>
      </w:pPr>
      <w:r w:rsidRPr="00E86BC3">
        <w:rPr>
          <w:szCs w:val="26"/>
        </w:rPr>
        <w:t>Отражение расходов бюджета поселения, источником финансового обеспечения которых являются иные межбюджетные трансферты, имеющие целевое назначение, предоставляемые из районного бюджета (в том числе на основании соглашений о передаче части полномочий), осуществляется по целевым статьям расходов бюджета поселения, включающим коды соответствующих направлений расходов (14-17 разряды кода целевой статья), идентичные кодам соответствующих направлений расходов районного бюджета, по которым отражаются расходы районного бюджета на предоставление вышеуказанных межбюджетных трансфертов.</w:t>
      </w:r>
    </w:p>
    <w:p w:rsidR="00E86BC3" w:rsidRPr="00E86BC3" w:rsidRDefault="00E86BC3" w:rsidP="00E86BC3">
      <w:pPr>
        <w:pStyle w:val="a5"/>
        <w:ind w:left="709"/>
        <w:jc w:val="both"/>
        <w:rPr>
          <w:szCs w:val="26"/>
        </w:rPr>
      </w:pPr>
    </w:p>
    <w:p w:rsidR="00E86BC3" w:rsidRPr="00E86BC3" w:rsidRDefault="00E86BC3" w:rsidP="00E86BC3">
      <w:pPr>
        <w:pStyle w:val="a5"/>
        <w:numPr>
          <w:ilvl w:val="0"/>
          <w:numId w:val="1"/>
        </w:numPr>
        <w:tabs>
          <w:tab w:val="left" w:pos="993"/>
        </w:tabs>
        <w:ind w:left="0" w:firstLine="709"/>
        <w:jc w:val="both"/>
        <w:rPr>
          <w:szCs w:val="26"/>
        </w:rPr>
      </w:pPr>
      <w:r w:rsidRPr="00E86BC3">
        <w:rPr>
          <w:szCs w:val="26"/>
        </w:rPr>
        <w:t>Внесение в течение финансового года изменений в наименование и (или) код целевой статьи расходов бюджета поселения не допускается, за исключением случаев, когда в течение финансового года по указанной целевой статье расходов бюджета поселения не производились кассовые расходы.</w:t>
      </w:r>
    </w:p>
    <w:p w:rsidR="00E86BC3" w:rsidRPr="00E86BC3" w:rsidRDefault="00E86BC3" w:rsidP="00E86BC3">
      <w:pPr>
        <w:ind w:firstLine="709"/>
        <w:contextualSpacing/>
        <w:jc w:val="both"/>
        <w:rPr>
          <w:sz w:val="26"/>
          <w:szCs w:val="26"/>
        </w:rPr>
      </w:pPr>
    </w:p>
    <w:p w:rsidR="00E86BC3" w:rsidRPr="00E86BC3" w:rsidRDefault="00E86BC3" w:rsidP="00E86BC3">
      <w:pPr>
        <w:ind w:firstLine="709"/>
        <w:contextualSpacing/>
        <w:jc w:val="both"/>
        <w:rPr>
          <w:sz w:val="26"/>
          <w:szCs w:val="26"/>
        </w:rPr>
      </w:pPr>
    </w:p>
    <w:p w:rsidR="00E86BC3" w:rsidRPr="00E86BC3" w:rsidRDefault="00E86BC3" w:rsidP="00E86BC3">
      <w:pPr>
        <w:ind w:firstLine="709"/>
        <w:contextualSpacing/>
        <w:jc w:val="both"/>
        <w:rPr>
          <w:sz w:val="26"/>
          <w:szCs w:val="26"/>
        </w:rPr>
      </w:pPr>
    </w:p>
    <w:p w:rsidR="00E86BC3" w:rsidRPr="00E86BC3" w:rsidRDefault="00E86BC3" w:rsidP="00E86BC3">
      <w:pPr>
        <w:rPr>
          <w:sz w:val="26"/>
          <w:szCs w:val="26"/>
        </w:rPr>
      </w:pPr>
    </w:p>
    <w:p w:rsidR="00E86BC3" w:rsidRPr="00E86BC3" w:rsidRDefault="00E86BC3" w:rsidP="00E86BC3">
      <w:pPr>
        <w:rPr>
          <w:sz w:val="26"/>
          <w:szCs w:val="26"/>
        </w:rPr>
      </w:pPr>
    </w:p>
    <w:sectPr w:rsidR="00E86BC3" w:rsidRPr="00E86BC3" w:rsidSect="00B13674">
      <w:headerReference w:type="default" r:id="rId7"/>
      <w:pgSz w:w="11906" w:h="16838"/>
      <w:pgMar w:top="1134" w:right="680" w:bottom="1134" w:left="204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691" w:rsidRDefault="006D7691" w:rsidP="00B13674">
      <w:r>
        <w:separator/>
      </w:r>
    </w:p>
  </w:endnote>
  <w:endnote w:type="continuationSeparator" w:id="0">
    <w:p w:rsidR="006D7691" w:rsidRDefault="006D7691" w:rsidP="00B1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691" w:rsidRDefault="006D7691" w:rsidP="00B13674">
      <w:r>
        <w:separator/>
      </w:r>
    </w:p>
  </w:footnote>
  <w:footnote w:type="continuationSeparator" w:id="0">
    <w:p w:rsidR="006D7691" w:rsidRDefault="006D7691" w:rsidP="00B13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779249"/>
      <w:docPartObj>
        <w:docPartGallery w:val="Page Numbers (Top of Page)"/>
        <w:docPartUnique/>
      </w:docPartObj>
    </w:sdtPr>
    <w:sdtEndPr/>
    <w:sdtContent>
      <w:p w:rsidR="00B13674" w:rsidRDefault="00B13674">
        <w:pPr>
          <w:pStyle w:val="a7"/>
          <w:jc w:val="center"/>
        </w:pPr>
        <w:r>
          <w:fldChar w:fldCharType="begin"/>
        </w:r>
        <w:r>
          <w:instrText>PAGE   \* MERGEFORMAT</w:instrText>
        </w:r>
        <w:r>
          <w:fldChar w:fldCharType="separate"/>
        </w:r>
        <w:r w:rsidR="00C7529B">
          <w:rPr>
            <w:noProof/>
          </w:rPr>
          <w:t>2</w:t>
        </w:r>
        <w:r>
          <w:fldChar w:fldCharType="end"/>
        </w:r>
      </w:p>
    </w:sdtContent>
  </w:sdt>
  <w:p w:rsidR="00B13674" w:rsidRDefault="00B1367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033CD1"/>
    <w:multiLevelType w:val="multilevel"/>
    <w:tmpl w:val="A2CCF78A"/>
    <w:lvl w:ilvl="0">
      <w:start w:val="1"/>
      <w:numFmt w:val="decimal"/>
      <w:lvlText w:val="%1."/>
      <w:lvlJc w:val="left"/>
      <w:pPr>
        <w:ind w:left="107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BD4"/>
    <w:rsid w:val="000B49EC"/>
    <w:rsid w:val="002A3E2B"/>
    <w:rsid w:val="00393CBE"/>
    <w:rsid w:val="003A7BD4"/>
    <w:rsid w:val="004C03D2"/>
    <w:rsid w:val="006D7691"/>
    <w:rsid w:val="00841CF1"/>
    <w:rsid w:val="00B12411"/>
    <w:rsid w:val="00B13674"/>
    <w:rsid w:val="00B82A9D"/>
    <w:rsid w:val="00C7529B"/>
    <w:rsid w:val="00E86BC3"/>
    <w:rsid w:val="00EB740D"/>
    <w:rsid w:val="00FC5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A69AC-78A3-4DC3-A51E-33B0F412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E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2A9D"/>
    <w:rPr>
      <w:rFonts w:ascii="Segoe UI" w:hAnsi="Segoe UI" w:cs="Segoe UI"/>
      <w:sz w:val="18"/>
      <w:szCs w:val="18"/>
    </w:rPr>
  </w:style>
  <w:style w:type="character" w:customStyle="1" w:styleId="a4">
    <w:name w:val="Текст выноски Знак"/>
    <w:basedOn w:val="a0"/>
    <w:link w:val="a3"/>
    <w:uiPriority w:val="99"/>
    <w:semiHidden/>
    <w:rsid w:val="00B82A9D"/>
    <w:rPr>
      <w:rFonts w:ascii="Segoe UI" w:eastAsia="Times New Roman" w:hAnsi="Segoe UI" w:cs="Segoe UI"/>
      <w:sz w:val="18"/>
      <w:szCs w:val="18"/>
      <w:lang w:eastAsia="ru-RU"/>
    </w:rPr>
  </w:style>
  <w:style w:type="paragraph" w:styleId="a5">
    <w:name w:val="List Paragraph"/>
    <w:basedOn w:val="a"/>
    <w:uiPriority w:val="34"/>
    <w:qFormat/>
    <w:rsid w:val="00E86BC3"/>
    <w:pPr>
      <w:ind w:left="708"/>
    </w:pPr>
    <w:rPr>
      <w:sz w:val="26"/>
    </w:rPr>
  </w:style>
  <w:style w:type="table" w:styleId="a6">
    <w:name w:val="Table Grid"/>
    <w:basedOn w:val="a1"/>
    <w:uiPriority w:val="39"/>
    <w:rsid w:val="00E86B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13674"/>
    <w:pPr>
      <w:tabs>
        <w:tab w:val="center" w:pos="4677"/>
        <w:tab w:val="right" w:pos="9355"/>
      </w:tabs>
    </w:pPr>
  </w:style>
  <w:style w:type="character" w:customStyle="1" w:styleId="a8">
    <w:name w:val="Верхний колонтитул Знак"/>
    <w:basedOn w:val="a0"/>
    <w:link w:val="a7"/>
    <w:uiPriority w:val="99"/>
    <w:rsid w:val="00B1367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13674"/>
    <w:pPr>
      <w:tabs>
        <w:tab w:val="center" w:pos="4677"/>
        <w:tab w:val="right" w:pos="9355"/>
      </w:tabs>
    </w:pPr>
  </w:style>
  <w:style w:type="character" w:customStyle="1" w:styleId="aa">
    <w:name w:val="Нижний колонтитул Знак"/>
    <w:basedOn w:val="a0"/>
    <w:link w:val="a9"/>
    <w:uiPriority w:val="99"/>
    <w:rsid w:val="00B1367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72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989</Words>
  <Characters>5638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IntelCoreI3</dc:creator>
  <cp:keywords/>
  <dc:description/>
  <cp:lastModifiedBy>IntelCoreI3</cp:lastModifiedBy>
  <cp:revision>15</cp:revision>
  <cp:lastPrinted>2019-03-11T01:26:00Z</cp:lastPrinted>
  <dcterms:created xsi:type="dcterms:W3CDTF">2019-03-06T02:08:00Z</dcterms:created>
  <dcterms:modified xsi:type="dcterms:W3CDTF">2019-03-14T23:57:00Z</dcterms:modified>
</cp:coreProperties>
</file>